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B8EE8" w14:textId="77777777" w:rsidR="00451DAC" w:rsidRDefault="00864D2B">
      <w:pPr>
        <w:spacing w:before="240" w:after="240"/>
        <w:rPr>
          <w:sz w:val="16"/>
          <w:szCs w:val="16"/>
        </w:rPr>
      </w:pPr>
      <w:r>
        <w:rPr>
          <w:noProof/>
        </w:rPr>
        <w:drawing>
          <wp:anchor distT="114300" distB="114300" distL="114300" distR="114300" simplePos="0" relativeHeight="251658240" behindDoc="0" locked="0" layoutInCell="1" hidden="0" allowOverlap="1" wp14:anchorId="0D1B8F64" wp14:editId="0D1B8F65">
            <wp:simplePos x="0" y="0"/>
            <wp:positionH relativeFrom="column">
              <wp:posOffset>4247813</wp:posOffset>
            </wp:positionH>
            <wp:positionV relativeFrom="paragraph">
              <wp:posOffset>457200</wp:posOffset>
            </wp:positionV>
            <wp:extent cx="1471613" cy="1604684"/>
            <wp:effectExtent l="0" t="0" r="0" b="0"/>
            <wp:wrapSquare wrapText="bothSides" distT="114300" distB="11430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471613" cy="1604684"/>
                    </a:xfrm>
                    <a:prstGeom prst="rect">
                      <a:avLst/>
                    </a:prstGeom>
                    <a:ln/>
                  </pic:spPr>
                </pic:pic>
              </a:graphicData>
            </a:graphic>
          </wp:anchor>
        </w:drawing>
      </w:r>
    </w:p>
    <w:p w14:paraId="0D1B8EE9" w14:textId="77777777" w:rsidR="00451DAC" w:rsidRDefault="00864D2B">
      <w:pPr>
        <w:spacing w:before="240" w:after="240"/>
        <w:rPr>
          <w:rFonts w:ascii="Calibri" w:eastAsia="Calibri" w:hAnsi="Calibri" w:cs="Calibri"/>
          <w:sz w:val="16"/>
          <w:szCs w:val="16"/>
        </w:rPr>
      </w:pPr>
      <w:r>
        <w:rPr>
          <w:rFonts w:ascii="Calibri" w:eastAsia="Calibri" w:hAnsi="Calibri" w:cs="Calibri"/>
          <w:sz w:val="16"/>
          <w:szCs w:val="16"/>
        </w:rPr>
        <w:t xml:space="preserve"> </w:t>
      </w:r>
    </w:p>
    <w:p w14:paraId="0D1B8EEA" w14:textId="77777777" w:rsidR="00451DAC" w:rsidRDefault="00864D2B">
      <w:pPr>
        <w:spacing w:before="240" w:after="240"/>
        <w:rPr>
          <w:b/>
          <w:bCs/>
          <w:sz w:val="52"/>
          <w:szCs w:val="52"/>
        </w:rPr>
      </w:pPr>
      <w:r>
        <w:rPr>
          <w:b/>
          <w:bCs/>
          <w:sz w:val="52"/>
          <w:szCs w:val="52"/>
        </w:rPr>
        <w:t xml:space="preserve"> </w:t>
      </w:r>
    </w:p>
    <w:p w14:paraId="0D1B8EEB" w14:textId="77777777" w:rsidR="00451DAC" w:rsidRDefault="00451DAC">
      <w:pPr>
        <w:spacing w:before="240" w:after="240"/>
        <w:rPr>
          <w:b/>
          <w:bCs/>
          <w:sz w:val="52"/>
          <w:szCs w:val="52"/>
        </w:rPr>
      </w:pPr>
    </w:p>
    <w:p w14:paraId="0D1B8EEC" w14:textId="77777777" w:rsidR="00451DAC" w:rsidRDefault="00451DAC">
      <w:pPr>
        <w:spacing w:before="240" w:after="240"/>
        <w:rPr>
          <w:b/>
          <w:bCs/>
          <w:sz w:val="52"/>
          <w:szCs w:val="52"/>
        </w:rPr>
      </w:pPr>
    </w:p>
    <w:p w14:paraId="0D1B8EED" w14:textId="77777777" w:rsidR="00451DAC" w:rsidRDefault="00864D2B">
      <w:pPr>
        <w:spacing w:before="240" w:after="240"/>
        <w:jc w:val="center"/>
        <w:rPr>
          <w:rFonts w:ascii="Playpen Sans" w:eastAsia="Playpen Sans" w:hAnsi="Playpen Sans" w:cs="Playpen Sans"/>
          <w:b/>
          <w:bCs/>
          <w:sz w:val="44"/>
          <w:szCs w:val="44"/>
        </w:rPr>
      </w:pPr>
      <w:r>
        <w:rPr>
          <w:rFonts w:ascii="Playpen Sans" w:eastAsia="Playpen Sans" w:hAnsi="Playpen Sans" w:cs="Playpen Sans"/>
          <w:b/>
          <w:bCs/>
          <w:sz w:val="44"/>
          <w:szCs w:val="44"/>
        </w:rPr>
        <w:t>St Paul’s Church of England Primary School</w:t>
      </w:r>
    </w:p>
    <w:p w14:paraId="0D1B8EEE" w14:textId="77777777" w:rsidR="00451DAC" w:rsidRDefault="00864D2B">
      <w:pPr>
        <w:spacing w:before="240" w:after="240"/>
        <w:jc w:val="center"/>
        <w:rPr>
          <w:rFonts w:ascii="Playpen Sans" w:eastAsia="Playpen Sans" w:hAnsi="Playpen Sans" w:cs="Playpen Sans"/>
          <w:b/>
          <w:bCs/>
          <w:sz w:val="44"/>
          <w:szCs w:val="44"/>
        </w:rPr>
      </w:pPr>
      <w:r>
        <w:rPr>
          <w:rFonts w:ascii="Playpen Sans" w:eastAsia="Playpen Sans" w:hAnsi="Playpen Sans" w:cs="Playpen Sans"/>
          <w:b/>
          <w:bCs/>
          <w:sz w:val="44"/>
          <w:szCs w:val="44"/>
        </w:rPr>
        <w:t xml:space="preserve"> </w:t>
      </w:r>
    </w:p>
    <w:p w14:paraId="0D1B8EEF" w14:textId="77777777" w:rsidR="00451DAC" w:rsidRDefault="00864D2B">
      <w:pPr>
        <w:spacing w:before="240" w:after="240"/>
        <w:jc w:val="center"/>
        <w:rPr>
          <w:rFonts w:ascii="Playpen Sans" w:eastAsia="Playpen Sans" w:hAnsi="Playpen Sans" w:cs="Playpen Sans"/>
          <w:i/>
          <w:iCs/>
          <w:sz w:val="44"/>
          <w:szCs w:val="44"/>
        </w:rPr>
      </w:pPr>
      <w:r>
        <w:rPr>
          <w:rFonts w:ascii="Playpen Sans" w:eastAsia="Playpen Sans" w:hAnsi="Playpen Sans" w:cs="Playpen Sans"/>
          <w:i/>
          <w:iCs/>
          <w:sz w:val="44"/>
          <w:szCs w:val="44"/>
        </w:rPr>
        <w:t>PSHE</w:t>
      </w:r>
    </w:p>
    <w:p w14:paraId="0D1B8EF0" w14:textId="4BCF0E48" w:rsidR="00451DAC" w:rsidRDefault="00864D2B">
      <w:pPr>
        <w:spacing w:before="240" w:after="240"/>
        <w:jc w:val="center"/>
        <w:rPr>
          <w:rFonts w:ascii="Playpen Sans" w:eastAsia="Playpen Sans" w:hAnsi="Playpen Sans" w:cs="Playpen Sans"/>
          <w:b/>
          <w:bCs/>
          <w:i/>
          <w:iCs/>
          <w:sz w:val="44"/>
          <w:szCs w:val="44"/>
        </w:rPr>
      </w:pPr>
      <w:r>
        <w:rPr>
          <w:rFonts w:ascii="Playpen Sans" w:eastAsia="Playpen Sans" w:hAnsi="Playpen Sans" w:cs="Playpen Sans"/>
          <w:b/>
          <w:bCs/>
          <w:i/>
          <w:iCs/>
          <w:sz w:val="44"/>
          <w:szCs w:val="44"/>
        </w:rPr>
        <w:t>Long Term Curriculum 25</w:t>
      </w:r>
      <w:r>
        <w:rPr>
          <w:rFonts w:ascii="Playpen Sans" w:eastAsia="Playpen Sans" w:hAnsi="Playpen Sans" w:cs="Playpen Sans"/>
          <w:b/>
          <w:bCs/>
          <w:i/>
          <w:iCs/>
          <w:sz w:val="44"/>
          <w:szCs w:val="44"/>
        </w:rPr>
        <w:t>-26</w:t>
      </w:r>
    </w:p>
    <w:p w14:paraId="0D1B8EF1" w14:textId="77777777" w:rsidR="00451DAC" w:rsidRDefault="00451DAC">
      <w:pPr>
        <w:spacing w:before="240" w:after="240"/>
        <w:jc w:val="center"/>
        <w:rPr>
          <w:rFonts w:ascii="Playpen Sans" w:eastAsia="Playpen Sans" w:hAnsi="Playpen Sans" w:cs="Playpen Sans"/>
          <w:b/>
          <w:bCs/>
          <w:i/>
          <w:iCs/>
          <w:sz w:val="44"/>
          <w:szCs w:val="44"/>
        </w:rPr>
      </w:pPr>
    </w:p>
    <w:p w14:paraId="0D1B8EF2" w14:textId="77777777" w:rsidR="00451DAC" w:rsidRDefault="00451DAC">
      <w:pPr>
        <w:spacing w:before="240" w:after="240"/>
        <w:rPr>
          <w:rFonts w:ascii="Playpen Sans" w:eastAsia="Playpen Sans" w:hAnsi="Playpen Sans" w:cs="Playpen Sans"/>
          <w:b/>
          <w:bCs/>
          <w:i/>
          <w:iCs/>
          <w:sz w:val="44"/>
          <w:szCs w:val="44"/>
        </w:rPr>
      </w:pPr>
    </w:p>
    <w:p w14:paraId="0D1B8EF3" w14:textId="77777777" w:rsidR="00451DAC" w:rsidRDefault="00451DAC">
      <w:pPr>
        <w:spacing w:before="240" w:after="240"/>
        <w:rPr>
          <w:rFonts w:ascii="Playpen Sans" w:eastAsia="Playpen Sans" w:hAnsi="Playpen Sans" w:cs="Playpen Sans"/>
          <w:b/>
          <w:bCs/>
          <w:sz w:val="24"/>
          <w:szCs w:val="24"/>
        </w:rPr>
      </w:pPr>
    </w:p>
    <w:p w14:paraId="0D1B8EF4" w14:textId="77777777" w:rsidR="00451DAC" w:rsidRDefault="00451DAC">
      <w:pPr>
        <w:spacing w:before="240" w:after="240"/>
        <w:rPr>
          <w:rFonts w:ascii="Playpen Sans" w:eastAsia="Playpen Sans" w:hAnsi="Playpen Sans" w:cs="Playpen Sans"/>
          <w:b/>
          <w:bCs/>
          <w:sz w:val="24"/>
          <w:szCs w:val="24"/>
        </w:rPr>
      </w:pPr>
    </w:p>
    <w:p w14:paraId="0D1B8EF5" w14:textId="77777777" w:rsidR="00451DAC" w:rsidRDefault="00864D2B">
      <w:pPr>
        <w:spacing w:before="240" w:after="240"/>
        <w:rPr>
          <w:rFonts w:ascii="Playpen Sans" w:eastAsia="Playpen Sans" w:hAnsi="Playpen Sans" w:cs="Playpen Sans"/>
          <w:b/>
          <w:bCs/>
          <w:sz w:val="24"/>
          <w:szCs w:val="24"/>
        </w:rPr>
      </w:pPr>
      <w:r>
        <w:rPr>
          <w:rFonts w:ascii="Playpen Sans" w:eastAsia="Playpen Sans" w:hAnsi="Playpen Sans" w:cs="Playpen Sans"/>
          <w:b/>
          <w:bCs/>
          <w:sz w:val="24"/>
          <w:szCs w:val="24"/>
        </w:rPr>
        <w:t>How the scheme is organised:</w:t>
      </w:r>
      <w:r>
        <w:rPr>
          <w:noProof/>
        </w:rPr>
        <w:drawing>
          <wp:anchor distT="114300" distB="114300" distL="114300" distR="114300" simplePos="0" relativeHeight="251659264" behindDoc="0" locked="0" layoutInCell="1" hidden="0" allowOverlap="1" wp14:anchorId="0D1B8F66" wp14:editId="0D1B8F67">
            <wp:simplePos x="0" y="0"/>
            <wp:positionH relativeFrom="column">
              <wp:posOffset>1843088</wp:posOffset>
            </wp:positionH>
            <wp:positionV relativeFrom="paragraph">
              <wp:posOffset>360041</wp:posOffset>
            </wp:positionV>
            <wp:extent cx="6283688" cy="2873183"/>
            <wp:effectExtent l="0" t="0" r="0" b="0"/>
            <wp:wrapSquare wrapText="bothSides" distT="114300" distB="11430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6283688" cy="2873183"/>
                    </a:xfrm>
                    <a:prstGeom prst="rect">
                      <a:avLst/>
                    </a:prstGeom>
                    <a:ln/>
                  </pic:spPr>
                </pic:pic>
              </a:graphicData>
            </a:graphic>
          </wp:anchor>
        </w:drawing>
      </w:r>
    </w:p>
    <w:p w14:paraId="0D1B8EF6" w14:textId="77777777" w:rsidR="00451DAC" w:rsidRDefault="00451DAC">
      <w:pPr>
        <w:spacing w:before="240" w:after="240"/>
        <w:rPr>
          <w:rFonts w:ascii="Playpen Sans" w:eastAsia="Playpen Sans" w:hAnsi="Playpen Sans" w:cs="Playpen Sans"/>
          <w:b/>
          <w:bCs/>
          <w:sz w:val="28"/>
          <w:szCs w:val="28"/>
        </w:rPr>
      </w:pPr>
    </w:p>
    <w:p w14:paraId="0D1B8EF7" w14:textId="77777777" w:rsidR="00451DAC" w:rsidRDefault="00451DAC">
      <w:pPr>
        <w:spacing w:before="240" w:after="240"/>
        <w:rPr>
          <w:rFonts w:ascii="Playpen Sans" w:eastAsia="Playpen Sans" w:hAnsi="Playpen Sans" w:cs="Playpen Sans"/>
          <w:b/>
          <w:bCs/>
          <w:sz w:val="28"/>
          <w:szCs w:val="28"/>
          <w:u w:val="single"/>
        </w:rPr>
      </w:pPr>
    </w:p>
    <w:p w14:paraId="0D1B8EF8" w14:textId="77777777" w:rsidR="00451DAC" w:rsidRDefault="00451DAC">
      <w:pPr>
        <w:spacing w:before="240" w:after="240"/>
        <w:rPr>
          <w:rFonts w:ascii="Playpen Sans" w:eastAsia="Playpen Sans" w:hAnsi="Playpen Sans" w:cs="Playpen Sans"/>
          <w:b/>
          <w:bCs/>
          <w:sz w:val="24"/>
          <w:szCs w:val="24"/>
        </w:rPr>
      </w:pPr>
    </w:p>
    <w:p w14:paraId="0D1B8EF9" w14:textId="77777777" w:rsidR="00451DAC" w:rsidRDefault="00451DAC">
      <w:pPr>
        <w:spacing w:before="240" w:after="240"/>
        <w:rPr>
          <w:rFonts w:ascii="Playpen Sans" w:eastAsia="Playpen Sans" w:hAnsi="Playpen Sans" w:cs="Playpen Sans"/>
          <w:b/>
          <w:bCs/>
          <w:sz w:val="24"/>
          <w:szCs w:val="24"/>
        </w:rPr>
      </w:pPr>
    </w:p>
    <w:p w14:paraId="0D1B8EFA" w14:textId="77777777" w:rsidR="00451DAC" w:rsidRDefault="00451DAC">
      <w:pPr>
        <w:spacing w:before="240" w:after="240"/>
        <w:rPr>
          <w:rFonts w:ascii="Playpen Sans" w:eastAsia="Playpen Sans" w:hAnsi="Playpen Sans" w:cs="Playpen Sans"/>
          <w:b/>
          <w:bCs/>
          <w:sz w:val="24"/>
          <w:szCs w:val="24"/>
        </w:rPr>
      </w:pPr>
    </w:p>
    <w:p w14:paraId="0D1B8EFD" w14:textId="77777777" w:rsidR="00451DAC" w:rsidRDefault="00451DAC">
      <w:pPr>
        <w:spacing w:before="240" w:after="240"/>
        <w:rPr>
          <w:rFonts w:ascii="Playpen Sans" w:eastAsia="Playpen Sans" w:hAnsi="Playpen Sans" w:cs="Playpen Sans"/>
          <w:b/>
          <w:bCs/>
          <w:sz w:val="24"/>
          <w:szCs w:val="24"/>
        </w:rPr>
      </w:pPr>
    </w:p>
    <w:p w14:paraId="0D1B8EFE" w14:textId="77777777" w:rsidR="00451DAC" w:rsidRDefault="00864D2B">
      <w:pPr>
        <w:spacing w:before="240" w:after="240"/>
        <w:rPr>
          <w:rFonts w:ascii="Playpen Sans" w:eastAsia="Playpen Sans" w:hAnsi="Playpen Sans" w:cs="Playpen Sans"/>
          <w:b/>
          <w:bCs/>
          <w:sz w:val="24"/>
          <w:szCs w:val="24"/>
        </w:rPr>
      </w:pPr>
      <w:r>
        <w:rPr>
          <w:rFonts w:ascii="Playpen Sans" w:eastAsia="Playpen Sans" w:hAnsi="Playpen Sans" w:cs="Playpen Sans"/>
          <w:b/>
          <w:bCs/>
          <w:sz w:val="24"/>
          <w:szCs w:val="24"/>
        </w:rPr>
        <w:t>Key Areas</w:t>
      </w:r>
    </w:p>
    <w:p w14:paraId="0D1B8EFF" w14:textId="77777777" w:rsidR="00451DAC" w:rsidRDefault="00864D2B">
      <w:pPr>
        <w:spacing w:before="240" w:after="240"/>
        <w:rPr>
          <w:rFonts w:ascii="Playpen Sans" w:eastAsia="Playpen Sans" w:hAnsi="Playpen Sans" w:cs="Playpen Sans"/>
          <w:sz w:val="8"/>
          <w:szCs w:val="8"/>
        </w:rPr>
      </w:pPr>
      <w:r>
        <w:rPr>
          <w:rFonts w:ascii="Playpen Sans" w:eastAsia="Playpen Sans" w:hAnsi="Playpen Sans" w:cs="Playpen Sans"/>
        </w:rPr>
        <w:t xml:space="preserve">Kapow Primary organises PSHE lessons into five key areas, which are revisited each year to help build on pupils’ previous learning and prepare them for future learning. In Year 6, there is an additional focus area: </w:t>
      </w:r>
      <w:r>
        <w:rPr>
          <w:rFonts w:ascii="Playpen Sans" w:eastAsia="Playpen Sans" w:hAnsi="Playpen Sans" w:cs="Playpen Sans"/>
          <w:i/>
          <w:iCs/>
        </w:rPr>
        <w:t>Identity</w:t>
      </w:r>
      <w:r>
        <w:rPr>
          <w:rFonts w:ascii="Playpen Sans" w:eastAsia="Playpen Sans" w:hAnsi="Playpen Sans" w:cs="Playpen Sans"/>
        </w:rPr>
        <w:t>.</w:t>
      </w:r>
      <w:r>
        <w:rPr>
          <w:noProof/>
        </w:rPr>
        <w:drawing>
          <wp:anchor distT="114300" distB="114300" distL="114300" distR="114300" simplePos="0" relativeHeight="251660288" behindDoc="0" locked="0" layoutInCell="1" hidden="0" allowOverlap="1" wp14:anchorId="0D1B8F68" wp14:editId="0D1B8F69">
            <wp:simplePos x="0" y="0"/>
            <wp:positionH relativeFrom="column">
              <wp:posOffset>23813</wp:posOffset>
            </wp:positionH>
            <wp:positionV relativeFrom="paragraph">
              <wp:posOffset>792632</wp:posOffset>
            </wp:positionV>
            <wp:extent cx="9972000" cy="1866900"/>
            <wp:effectExtent l="0" t="0" r="0" b="0"/>
            <wp:wrapSquare wrapText="bothSides" distT="114300" distB="11430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9972000" cy="1866900"/>
                    </a:xfrm>
                    <a:prstGeom prst="rect">
                      <a:avLst/>
                    </a:prstGeom>
                    <a:ln/>
                  </pic:spPr>
                </pic:pic>
              </a:graphicData>
            </a:graphic>
          </wp:anchor>
        </w:drawing>
      </w:r>
    </w:p>
    <w:p w14:paraId="0D1B8F00" w14:textId="77777777" w:rsidR="00451DAC" w:rsidRDefault="00451DAC">
      <w:pPr>
        <w:spacing w:before="240" w:after="240"/>
        <w:rPr>
          <w:rFonts w:ascii="Playpen Sans" w:eastAsia="Playpen Sans" w:hAnsi="Playpen Sans" w:cs="Playpen Sans"/>
          <w:sz w:val="8"/>
          <w:szCs w:val="8"/>
        </w:rPr>
      </w:pPr>
    </w:p>
    <w:p w14:paraId="0D1B8F01" w14:textId="77777777" w:rsidR="00451DAC" w:rsidRDefault="00864D2B">
      <w:pPr>
        <w:spacing w:before="240" w:after="240"/>
        <w:rPr>
          <w:rFonts w:ascii="Playpen Sans" w:eastAsia="Playpen Sans" w:hAnsi="Playpen Sans" w:cs="Playpen Sans"/>
          <w:sz w:val="8"/>
          <w:szCs w:val="8"/>
        </w:rPr>
      </w:pPr>
      <w:r>
        <w:rPr>
          <w:rFonts w:ascii="Playpen Sans" w:eastAsia="Playpen Sans" w:hAnsi="Playpen Sans" w:cs="Playpen Sans"/>
          <w:noProof/>
          <w:sz w:val="8"/>
          <w:szCs w:val="8"/>
        </w:rPr>
        <w:lastRenderedPageBreak/>
        <w:drawing>
          <wp:inline distT="114300" distB="114300" distL="114300" distR="114300" wp14:anchorId="0D1B8F6A" wp14:editId="0D1B8F6B">
            <wp:extent cx="9972000" cy="33274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9972000" cy="3327400"/>
                    </a:xfrm>
                    <a:prstGeom prst="rect">
                      <a:avLst/>
                    </a:prstGeom>
                    <a:ln/>
                  </pic:spPr>
                </pic:pic>
              </a:graphicData>
            </a:graphic>
          </wp:inline>
        </w:drawing>
      </w:r>
    </w:p>
    <w:p w14:paraId="0D1B8F02" w14:textId="77777777" w:rsidR="00451DAC" w:rsidRDefault="00864D2B">
      <w:pPr>
        <w:spacing w:before="240" w:after="240"/>
        <w:rPr>
          <w:rFonts w:ascii="Playpen Sans" w:eastAsia="Playpen Sans" w:hAnsi="Playpen Sans" w:cs="Playpen Sans"/>
          <w:sz w:val="8"/>
          <w:szCs w:val="8"/>
        </w:rPr>
      </w:pPr>
      <w:r>
        <w:rPr>
          <w:rFonts w:ascii="Playpen Sans" w:eastAsia="Playpen Sans" w:hAnsi="Playpen Sans" w:cs="Playpen Sans"/>
          <w:noProof/>
          <w:sz w:val="8"/>
          <w:szCs w:val="8"/>
        </w:rPr>
        <w:lastRenderedPageBreak/>
        <w:drawing>
          <wp:inline distT="114300" distB="114300" distL="114300" distR="114300" wp14:anchorId="0D1B8F6C" wp14:editId="0D1B8F6D">
            <wp:extent cx="9972000" cy="62230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9972000" cy="6223000"/>
                    </a:xfrm>
                    <a:prstGeom prst="rect">
                      <a:avLst/>
                    </a:prstGeom>
                    <a:ln/>
                  </pic:spPr>
                </pic:pic>
              </a:graphicData>
            </a:graphic>
          </wp:inline>
        </w:drawing>
      </w:r>
    </w:p>
    <w:p w14:paraId="0D1B8F03" w14:textId="77777777" w:rsidR="00451DAC" w:rsidRDefault="00451DAC">
      <w:pPr>
        <w:spacing w:before="240" w:after="240"/>
        <w:rPr>
          <w:rFonts w:ascii="Playpen Sans" w:eastAsia="Playpen Sans" w:hAnsi="Playpen Sans" w:cs="Playpen Sans"/>
          <w:sz w:val="8"/>
          <w:szCs w:val="8"/>
        </w:rPr>
      </w:pPr>
    </w:p>
    <w:p w14:paraId="0D1B8F04" w14:textId="77777777" w:rsidR="00451DAC" w:rsidRDefault="00451DAC">
      <w:pPr>
        <w:spacing w:before="240" w:after="240"/>
        <w:rPr>
          <w:rFonts w:ascii="Playpen Sans" w:eastAsia="Playpen Sans" w:hAnsi="Playpen Sans" w:cs="Playpen Sans"/>
          <w:sz w:val="8"/>
          <w:szCs w:val="8"/>
        </w:rPr>
      </w:pPr>
    </w:p>
    <w:p w14:paraId="0D1B8F05" w14:textId="77777777" w:rsidR="00451DAC" w:rsidRDefault="00864D2B">
      <w:pPr>
        <w:spacing w:before="240" w:after="240"/>
        <w:rPr>
          <w:rFonts w:ascii="Playpen Sans" w:eastAsia="Playpen Sans" w:hAnsi="Playpen Sans" w:cs="Playpen Sans"/>
          <w:b/>
          <w:bCs/>
          <w:sz w:val="28"/>
          <w:szCs w:val="28"/>
          <w:u w:val="single"/>
        </w:rPr>
      </w:pPr>
      <w:r>
        <w:rPr>
          <w:rFonts w:ascii="Playpen Sans" w:eastAsia="Playpen Sans" w:hAnsi="Playpen Sans" w:cs="Playpen Sans"/>
          <w:b/>
          <w:bCs/>
          <w:noProof/>
          <w:sz w:val="28"/>
          <w:szCs w:val="28"/>
          <w:u w:val="single"/>
        </w:rPr>
        <w:drawing>
          <wp:inline distT="114300" distB="114300" distL="114300" distR="114300" wp14:anchorId="0D1B8F6E" wp14:editId="0D1B8F6F">
            <wp:extent cx="9972000" cy="58293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9972000" cy="5829300"/>
                    </a:xfrm>
                    <a:prstGeom prst="rect">
                      <a:avLst/>
                    </a:prstGeom>
                    <a:ln/>
                  </pic:spPr>
                </pic:pic>
              </a:graphicData>
            </a:graphic>
          </wp:inline>
        </w:drawing>
      </w:r>
    </w:p>
    <w:p w14:paraId="0D1B8F06" w14:textId="77777777" w:rsidR="00451DAC" w:rsidRDefault="00451DAC">
      <w:pPr>
        <w:spacing w:before="240" w:after="240"/>
        <w:rPr>
          <w:rFonts w:ascii="Playpen Sans" w:eastAsia="Playpen Sans" w:hAnsi="Playpen Sans" w:cs="Playpen Sans"/>
          <w:b/>
          <w:bCs/>
          <w:sz w:val="28"/>
          <w:szCs w:val="28"/>
          <w:u w:val="single"/>
        </w:rPr>
      </w:pPr>
    </w:p>
    <w:p w14:paraId="0D1B8F07" w14:textId="77777777" w:rsidR="00451DAC" w:rsidRDefault="00864D2B">
      <w:pPr>
        <w:spacing w:before="240" w:after="240"/>
        <w:rPr>
          <w:rFonts w:ascii="Playpen Sans" w:eastAsia="Playpen Sans" w:hAnsi="Playpen Sans" w:cs="Playpen Sans"/>
          <w:b/>
          <w:bCs/>
          <w:sz w:val="28"/>
          <w:szCs w:val="28"/>
          <w:u w:val="single"/>
        </w:rPr>
      </w:pPr>
      <w:r>
        <w:rPr>
          <w:rFonts w:ascii="Playpen Sans" w:eastAsia="Playpen Sans" w:hAnsi="Playpen Sans" w:cs="Playpen Sans"/>
          <w:b/>
          <w:bCs/>
          <w:sz w:val="28"/>
          <w:szCs w:val="28"/>
          <w:u w:val="single"/>
        </w:rPr>
        <w:lastRenderedPageBreak/>
        <w:t>RSE &amp; PSHE in EYFS: Reception</w:t>
      </w:r>
    </w:p>
    <w:p w14:paraId="0D1B8F08" w14:textId="77777777" w:rsidR="00451DAC" w:rsidRDefault="00864D2B">
      <w:pPr>
        <w:spacing w:before="240" w:after="240"/>
        <w:rPr>
          <w:rFonts w:ascii="Playpen Sans" w:eastAsia="Playpen Sans" w:hAnsi="Playpen Sans" w:cs="Playpen Sans"/>
          <w:b/>
          <w:bCs/>
          <w:sz w:val="28"/>
          <w:szCs w:val="28"/>
          <w:u w:val="single"/>
        </w:rPr>
      </w:pPr>
      <w:r>
        <w:rPr>
          <w:rFonts w:ascii="Playpen Sans" w:eastAsia="Playpen Sans" w:hAnsi="Playpen Sans" w:cs="Playpen Sans"/>
        </w:rPr>
        <w:t xml:space="preserve">Personal, social and emotional development is one of the three Prime Areas in the Statutory </w:t>
      </w:r>
      <w:proofErr w:type="gramStart"/>
      <w:r>
        <w:rPr>
          <w:rFonts w:ascii="Playpen Sans" w:eastAsia="Playpen Sans" w:hAnsi="Playpen Sans" w:cs="Playpen Sans"/>
        </w:rPr>
        <w:t>framework</w:t>
      </w:r>
      <w:proofErr w:type="gramEnd"/>
      <w:r>
        <w:rPr>
          <w:rFonts w:ascii="Playpen Sans" w:eastAsia="Playpen Sans" w:hAnsi="Playpen Sans" w:cs="Playpen Sans"/>
        </w:rPr>
        <w:t xml:space="preserve"> for the early years foundation stage. The prime areas, Communication and language, Physical development and Personal, social</w:t>
      </w:r>
      <w:r>
        <w:rPr>
          <w:rFonts w:ascii="Playpen Sans" w:eastAsia="Playpen Sans" w:hAnsi="Playpen Sans" w:cs="Playpen Sans"/>
        </w:rPr>
        <w:t xml:space="preserve"> and emotional development, lay the foundations for children to achieve in all areas of learning and life. The early learning goals (ELG) below summarise the knowledge, skills and understanding that all young children should have gained by the end of the r</w:t>
      </w:r>
      <w:r>
        <w:rPr>
          <w:rFonts w:ascii="Playpen Sans" w:eastAsia="Playpen Sans" w:hAnsi="Playpen Sans" w:cs="Playpen Sans"/>
        </w:rPr>
        <w:t>eception year in the Personal, social and emotional development prime area and are referenced in our Kapow Primary RSE &amp; PSHE lesson plans, along with the relevant non-statutory Development Matters guidance. We have organised our EYFS: Reception content un</w:t>
      </w:r>
      <w:r>
        <w:rPr>
          <w:rFonts w:ascii="Playpen Sans" w:eastAsia="Playpen Sans" w:hAnsi="Playpen Sans" w:cs="Playpen Sans"/>
        </w:rPr>
        <w:t xml:space="preserve">der the most relevant early learning goal, however please be aware that these areas are interrelated. </w:t>
      </w:r>
      <w:r>
        <w:rPr>
          <w:noProof/>
        </w:rPr>
        <w:drawing>
          <wp:anchor distT="114300" distB="114300" distL="114300" distR="114300" simplePos="0" relativeHeight="251661312" behindDoc="0" locked="0" layoutInCell="1" hidden="0" allowOverlap="1" wp14:anchorId="0D1B8F70" wp14:editId="0D1B8F71">
            <wp:simplePos x="0" y="0"/>
            <wp:positionH relativeFrom="column">
              <wp:posOffset>485438</wp:posOffset>
            </wp:positionH>
            <wp:positionV relativeFrom="paragraph">
              <wp:posOffset>1676400</wp:posOffset>
            </wp:positionV>
            <wp:extent cx="8998313" cy="4578964"/>
            <wp:effectExtent l="0" t="0" r="0" b="0"/>
            <wp:wrapSquare wrapText="bothSides" distT="114300" distB="11430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8998313" cy="4578964"/>
                    </a:xfrm>
                    <a:prstGeom prst="rect">
                      <a:avLst/>
                    </a:prstGeom>
                    <a:ln/>
                  </pic:spPr>
                </pic:pic>
              </a:graphicData>
            </a:graphic>
          </wp:anchor>
        </w:drawing>
      </w:r>
    </w:p>
    <w:p w14:paraId="0D1B8F09" w14:textId="77777777" w:rsidR="00451DAC" w:rsidRDefault="00451DAC">
      <w:pPr>
        <w:spacing w:before="240" w:after="240"/>
        <w:rPr>
          <w:rFonts w:ascii="Playpen Sans" w:eastAsia="Playpen Sans" w:hAnsi="Playpen Sans" w:cs="Playpen Sans"/>
          <w:b/>
          <w:bCs/>
          <w:sz w:val="28"/>
          <w:szCs w:val="28"/>
          <w:u w:val="single"/>
        </w:rPr>
      </w:pPr>
    </w:p>
    <w:p w14:paraId="0D1B8F0A" w14:textId="77777777" w:rsidR="00451DAC" w:rsidRDefault="00451DAC">
      <w:pPr>
        <w:spacing w:before="240" w:after="240"/>
        <w:rPr>
          <w:rFonts w:ascii="Playpen Sans" w:eastAsia="Playpen Sans" w:hAnsi="Playpen Sans" w:cs="Playpen Sans"/>
          <w:b/>
          <w:bCs/>
          <w:sz w:val="28"/>
          <w:szCs w:val="28"/>
          <w:u w:val="single"/>
        </w:rPr>
      </w:pPr>
    </w:p>
    <w:p w14:paraId="0D1B8F0B" w14:textId="77777777" w:rsidR="00451DAC" w:rsidRDefault="00451DAC">
      <w:pPr>
        <w:spacing w:before="240" w:after="240"/>
        <w:rPr>
          <w:rFonts w:ascii="Playpen Sans" w:eastAsia="Playpen Sans" w:hAnsi="Playpen Sans" w:cs="Playpen Sans"/>
          <w:b/>
          <w:bCs/>
          <w:sz w:val="28"/>
          <w:szCs w:val="28"/>
          <w:u w:val="single"/>
        </w:rPr>
      </w:pPr>
    </w:p>
    <w:p w14:paraId="0D1B8F0C" w14:textId="77777777" w:rsidR="00451DAC" w:rsidRDefault="00451DAC">
      <w:pPr>
        <w:spacing w:before="240" w:after="240"/>
        <w:rPr>
          <w:rFonts w:ascii="Playpen Sans" w:eastAsia="Playpen Sans" w:hAnsi="Playpen Sans" w:cs="Playpen Sans"/>
          <w:b/>
          <w:bCs/>
          <w:sz w:val="28"/>
          <w:szCs w:val="28"/>
          <w:u w:val="single"/>
        </w:rPr>
      </w:pPr>
    </w:p>
    <w:p w14:paraId="0D1B8F0D" w14:textId="77777777" w:rsidR="00451DAC" w:rsidRDefault="00864D2B">
      <w:pPr>
        <w:spacing w:before="240" w:after="240"/>
        <w:rPr>
          <w:rFonts w:ascii="Playpen Sans" w:eastAsia="Playpen Sans" w:hAnsi="Playpen Sans" w:cs="Playpen Sans"/>
          <w:b/>
          <w:bCs/>
          <w:sz w:val="24"/>
          <w:szCs w:val="24"/>
          <w:u w:val="single"/>
        </w:rPr>
      </w:pPr>
      <w:r>
        <w:rPr>
          <w:rFonts w:ascii="Playpen Sans" w:eastAsia="Playpen Sans" w:hAnsi="Playpen Sans" w:cs="Playpen Sans"/>
          <w:b/>
          <w:bCs/>
          <w:sz w:val="28"/>
          <w:szCs w:val="28"/>
          <w:u w:val="single"/>
        </w:rPr>
        <w:lastRenderedPageBreak/>
        <w:t>RSE&amp;PSHE - Termly Overview</w:t>
      </w:r>
    </w:p>
    <w:tbl>
      <w:tblPr>
        <w:tblStyle w:val="a"/>
        <w:tblpPr w:leftFromText="180" w:rightFromText="180" w:topFromText="180" w:bottomFromText="180" w:vertAnchor="text" w:tblpX="63"/>
        <w:tblW w:w="156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2235"/>
        <w:gridCol w:w="2235"/>
        <w:gridCol w:w="2235"/>
        <w:gridCol w:w="2235"/>
        <w:gridCol w:w="2235"/>
        <w:gridCol w:w="2235"/>
      </w:tblGrid>
      <w:tr w:rsidR="00451DAC" w14:paraId="0D1B8F15" w14:textId="77777777">
        <w:tc>
          <w:tcPr>
            <w:tcW w:w="2235" w:type="dxa"/>
          </w:tcPr>
          <w:p w14:paraId="0D1B8F0E" w14:textId="77777777" w:rsidR="00451DAC" w:rsidRDefault="00864D2B">
            <w:pPr>
              <w:widowControl w:val="0"/>
              <w:spacing w:line="240" w:lineRule="auto"/>
              <w:jc w:val="center"/>
              <w:rPr>
                <w:rFonts w:ascii="Playpen Sans" w:eastAsia="Playpen Sans" w:hAnsi="Playpen Sans" w:cs="Playpen Sans"/>
                <w:b/>
                <w:bCs/>
                <w:sz w:val="30"/>
                <w:szCs w:val="30"/>
              </w:rPr>
            </w:pPr>
            <w:r>
              <w:rPr>
                <w:rFonts w:ascii="Playpen Sans" w:eastAsia="Playpen Sans" w:hAnsi="Playpen Sans" w:cs="Playpen Sans"/>
                <w:b/>
                <w:bCs/>
                <w:sz w:val="30"/>
                <w:szCs w:val="30"/>
              </w:rPr>
              <w:t>Year Group</w:t>
            </w:r>
          </w:p>
        </w:tc>
        <w:tc>
          <w:tcPr>
            <w:tcW w:w="2235" w:type="dxa"/>
            <w:shd w:val="clear" w:color="auto" w:fill="FFD966"/>
          </w:tcPr>
          <w:p w14:paraId="0D1B8F0F" w14:textId="77777777" w:rsidR="00451DAC" w:rsidRDefault="00864D2B">
            <w:pPr>
              <w:widowControl w:val="0"/>
              <w:spacing w:line="240" w:lineRule="auto"/>
              <w:jc w:val="center"/>
              <w:rPr>
                <w:rFonts w:ascii="Playpen Sans" w:eastAsia="Playpen Sans" w:hAnsi="Playpen Sans" w:cs="Playpen Sans"/>
                <w:b/>
                <w:bCs/>
                <w:sz w:val="30"/>
                <w:szCs w:val="30"/>
              </w:rPr>
            </w:pPr>
            <w:r>
              <w:rPr>
                <w:rFonts w:ascii="Playpen Sans" w:eastAsia="Playpen Sans" w:hAnsi="Playpen Sans" w:cs="Playpen Sans"/>
                <w:b/>
                <w:bCs/>
                <w:sz w:val="30"/>
                <w:szCs w:val="30"/>
              </w:rPr>
              <w:t>Autumn 1</w:t>
            </w:r>
          </w:p>
        </w:tc>
        <w:tc>
          <w:tcPr>
            <w:tcW w:w="2235" w:type="dxa"/>
            <w:shd w:val="clear" w:color="auto" w:fill="FFD966"/>
          </w:tcPr>
          <w:p w14:paraId="0D1B8F10" w14:textId="77777777" w:rsidR="00451DAC" w:rsidRDefault="00864D2B">
            <w:pPr>
              <w:widowControl w:val="0"/>
              <w:spacing w:line="240" w:lineRule="auto"/>
              <w:jc w:val="center"/>
              <w:rPr>
                <w:rFonts w:ascii="Playpen Sans" w:eastAsia="Playpen Sans" w:hAnsi="Playpen Sans" w:cs="Playpen Sans"/>
                <w:b/>
                <w:bCs/>
                <w:sz w:val="30"/>
                <w:szCs w:val="30"/>
              </w:rPr>
            </w:pPr>
            <w:r>
              <w:rPr>
                <w:rFonts w:ascii="Playpen Sans" w:eastAsia="Playpen Sans" w:hAnsi="Playpen Sans" w:cs="Playpen Sans"/>
                <w:b/>
                <w:bCs/>
                <w:sz w:val="30"/>
                <w:szCs w:val="30"/>
              </w:rPr>
              <w:t>Autumn 2</w:t>
            </w:r>
          </w:p>
        </w:tc>
        <w:tc>
          <w:tcPr>
            <w:tcW w:w="2235" w:type="dxa"/>
            <w:shd w:val="clear" w:color="auto" w:fill="93C47D"/>
          </w:tcPr>
          <w:p w14:paraId="0D1B8F11" w14:textId="77777777" w:rsidR="00451DAC" w:rsidRDefault="00864D2B">
            <w:pPr>
              <w:widowControl w:val="0"/>
              <w:spacing w:line="240" w:lineRule="auto"/>
              <w:jc w:val="center"/>
              <w:rPr>
                <w:rFonts w:ascii="Playpen Sans" w:eastAsia="Playpen Sans" w:hAnsi="Playpen Sans" w:cs="Playpen Sans"/>
                <w:b/>
                <w:bCs/>
                <w:sz w:val="30"/>
                <w:szCs w:val="30"/>
              </w:rPr>
            </w:pPr>
            <w:r>
              <w:rPr>
                <w:rFonts w:ascii="Playpen Sans" w:eastAsia="Playpen Sans" w:hAnsi="Playpen Sans" w:cs="Playpen Sans"/>
                <w:b/>
                <w:bCs/>
                <w:sz w:val="30"/>
                <w:szCs w:val="30"/>
              </w:rPr>
              <w:t>Spring 1</w:t>
            </w:r>
          </w:p>
        </w:tc>
        <w:tc>
          <w:tcPr>
            <w:tcW w:w="2235" w:type="dxa"/>
            <w:shd w:val="clear" w:color="auto" w:fill="93C47D"/>
          </w:tcPr>
          <w:p w14:paraId="0D1B8F12" w14:textId="77777777" w:rsidR="00451DAC" w:rsidRDefault="00864D2B">
            <w:pPr>
              <w:widowControl w:val="0"/>
              <w:spacing w:line="240" w:lineRule="auto"/>
              <w:jc w:val="center"/>
              <w:rPr>
                <w:rFonts w:ascii="Playpen Sans" w:eastAsia="Playpen Sans" w:hAnsi="Playpen Sans" w:cs="Playpen Sans"/>
                <w:b/>
                <w:bCs/>
                <w:sz w:val="30"/>
                <w:szCs w:val="30"/>
              </w:rPr>
            </w:pPr>
            <w:r>
              <w:rPr>
                <w:rFonts w:ascii="Playpen Sans" w:eastAsia="Playpen Sans" w:hAnsi="Playpen Sans" w:cs="Playpen Sans"/>
                <w:b/>
                <w:bCs/>
                <w:sz w:val="30"/>
                <w:szCs w:val="30"/>
              </w:rPr>
              <w:t>Spring 2</w:t>
            </w:r>
          </w:p>
        </w:tc>
        <w:tc>
          <w:tcPr>
            <w:tcW w:w="2235" w:type="dxa"/>
            <w:shd w:val="clear" w:color="auto" w:fill="6D9EEB"/>
          </w:tcPr>
          <w:p w14:paraId="0D1B8F13" w14:textId="77777777" w:rsidR="00451DAC" w:rsidRDefault="00864D2B">
            <w:pPr>
              <w:widowControl w:val="0"/>
              <w:spacing w:line="240" w:lineRule="auto"/>
              <w:jc w:val="center"/>
              <w:rPr>
                <w:rFonts w:ascii="Playpen Sans" w:eastAsia="Playpen Sans" w:hAnsi="Playpen Sans" w:cs="Playpen Sans"/>
                <w:b/>
                <w:bCs/>
                <w:sz w:val="30"/>
                <w:szCs w:val="30"/>
              </w:rPr>
            </w:pPr>
            <w:r>
              <w:rPr>
                <w:rFonts w:ascii="Playpen Sans" w:eastAsia="Playpen Sans" w:hAnsi="Playpen Sans" w:cs="Playpen Sans"/>
                <w:b/>
                <w:bCs/>
                <w:sz w:val="30"/>
                <w:szCs w:val="30"/>
              </w:rPr>
              <w:t>Summer 1</w:t>
            </w:r>
          </w:p>
        </w:tc>
        <w:tc>
          <w:tcPr>
            <w:tcW w:w="2235" w:type="dxa"/>
            <w:shd w:val="clear" w:color="auto" w:fill="6D9EEB"/>
          </w:tcPr>
          <w:p w14:paraId="0D1B8F14" w14:textId="77777777" w:rsidR="00451DAC" w:rsidRDefault="00864D2B">
            <w:pPr>
              <w:widowControl w:val="0"/>
              <w:spacing w:line="240" w:lineRule="auto"/>
              <w:jc w:val="center"/>
              <w:rPr>
                <w:rFonts w:ascii="Playpen Sans" w:eastAsia="Playpen Sans" w:hAnsi="Playpen Sans" w:cs="Playpen Sans"/>
                <w:b/>
                <w:bCs/>
                <w:sz w:val="30"/>
                <w:szCs w:val="30"/>
              </w:rPr>
            </w:pPr>
            <w:r>
              <w:rPr>
                <w:rFonts w:ascii="Playpen Sans" w:eastAsia="Playpen Sans" w:hAnsi="Playpen Sans" w:cs="Playpen Sans"/>
                <w:b/>
                <w:bCs/>
                <w:sz w:val="30"/>
                <w:szCs w:val="30"/>
              </w:rPr>
              <w:t>Summer 2</w:t>
            </w:r>
          </w:p>
        </w:tc>
      </w:tr>
      <w:tr w:rsidR="00451DAC" w14:paraId="0D1B8F1E" w14:textId="77777777">
        <w:tc>
          <w:tcPr>
            <w:tcW w:w="2235" w:type="dxa"/>
          </w:tcPr>
          <w:p w14:paraId="0D1B8F16" w14:textId="77777777" w:rsidR="00451DAC" w:rsidRDefault="00864D2B">
            <w:pPr>
              <w:widowControl w:val="0"/>
              <w:spacing w:line="240" w:lineRule="auto"/>
              <w:jc w:val="center"/>
              <w:rPr>
                <w:rFonts w:ascii="Playpen Sans" w:eastAsia="Playpen Sans" w:hAnsi="Playpen Sans" w:cs="Playpen Sans"/>
                <w:b/>
                <w:bCs/>
                <w:sz w:val="20"/>
                <w:szCs w:val="20"/>
              </w:rPr>
            </w:pPr>
            <w:r>
              <w:rPr>
                <w:rFonts w:ascii="Playpen Sans" w:eastAsia="Playpen Sans" w:hAnsi="Playpen Sans" w:cs="Playpen Sans"/>
                <w:b/>
                <w:bCs/>
                <w:sz w:val="20"/>
                <w:szCs w:val="20"/>
              </w:rPr>
              <w:t>EYFS</w:t>
            </w:r>
          </w:p>
        </w:tc>
        <w:tc>
          <w:tcPr>
            <w:tcW w:w="2235" w:type="dxa"/>
            <w:shd w:val="clear" w:color="auto" w:fill="FFD966"/>
          </w:tcPr>
          <w:p w14:paraId="0D1B8F17" w14:textId="332B09B9"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u w:val="single"/>
              </w:rPr>
              <w:t>Self-Regulation</w:t>
            </w:r>
            <w:r>
              <w:rPr>
                <w:rFonts w:ascii="Playpen Sans" w:eastAsia="Playpen Sans" w:hAnsi="Playpen Sans" w:cs="Playpen Sans"/>
                <w:sz w:val="19"/>
                <w:szCs w:val="19"/>
                <w:u w:val="single"/>
              </w:rPr>
              <w:t xml:space="preserve">: </w:t>
            </w:r>
            <w:r>
              <w:rPr>
                <w:rFonts w:ascii="Playpen Sans" w:eastAsia="Playpen Sans" w:hAnsi="Playpen Sans" w:cs="Playpen Sans"/>
                <w:sz w:val="19"/>
                <w:szCs w:val="19"/>
              </w:rPr>
              <w:t>My feelings</w:t>
            </w:r>
          </w:p>
        </w:tc>
        <w:tc>
          <w:tcPr>
            <w:tcW w:w="2235" w:type="dxa"/>
            <w:shd w:val="clear" w:color="auto" w:fill="FFD966"/>
          </w:tcPr>
          <w:p w14:paraId="0D1B8F18" w14:textId="77777777" w:rsidR="00451DAC" w:rsidRDefault="00864D2B">
            <w:pPr>
              <w:widowControl w:val="0"/>
              <w:spacing w:line="240" w:lineRule="auto"/>
              <w:jc w:val="center"/>
              <w:rPr>
                <w:rFonts w:ascii="Playpen Sans" w:eastAsia="Playpen Sans" w:hAnsi="Playpen Sans" w:cs="Playpen Sans"/>
                <w:sz w:val="19"/>
                <w:szCs w:val="19"/>
                <w:u w:val="single"/>
              </w:rPr>
            </w:pPr>
            <w:r>
              <w:rPr>
                <w:rFonts w:ascii="Playpen Sans" w:eastAsia="Playpen Sans" w:hAnsi="Playpen Sans" w:cs="Playpen Sans"/>
                <w:sz w:val="19"/>
                <w:szCs w:val="19"/>
                <w:u w:val="single"/>
              </w:rPr>
              <w:t xml:space="preserve">Building Relationships: </w:t>
            </w:r>
          </w:p>
          <w:p w14:paraId="0D1B8F19"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My family and friends</w:t>
            </w:r>
          </w:p>
        </w:tc>
        <w:tc>
          <w:tcPr>
            <w:tcW w:w="2235" w:type="dxa"/>
            <w:shd w:val="clear" w:color="auto" w:fill="93C47D"/>
          </w:tcPr>
          <w:p w14:paraId="0D1B8F1A" w14:textId="28469372"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u w:val="single"/>
              </w:rPr>
              <w:t>Self-Regulation</w:t>
            </w:r>
            <w:r>
              <w:rPr>
                <w:rFonts w:ascii="Playpen Sans" w:eastAsia="Playpen Sans" w:hAnsi="Playpen Sans" w:cs="Playpen Sans"/>
                <w:sz w:val="19"/>
                <w:szCs w:val="19"/>
                <w:u w:val="single"/>
              </w:rPr>
              <w:t>:</w:t>
            </w:r>
            <w:r>
              <w:rPr>
                <w:rFonts w:ascii="Playpen Sans" w:eastAsia="Playpen Sans" w:hAnsi="Playpen Sans" w:cs="Playpen Sans"/>
                <w:sz w:val="19"/>
                <w:szCs w:val="19"/>
              </w:rPr>
              <w:t xml:space="preserve"> Listening and following instructions</w:t>
            </w:r>
          </w:p>
        </w:tc>
        <w:tc>
          <w:tcPr>
            <w:tcW w:w="2235" w:type="dxa"/>
            <w:shd w:val="clear" w:color="auto" w:fill="93C47D"/>
          </w:tcPr>
          <w:p w14:paraId="0D1B8F1B"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u w:val="single"/>
              </w:rPr>
              <w:t xml:space="preserve">Building Relationships: </w:t>
            </w:r>
            <w:r>
              <w:rPr>
                <w:rFonts w:ascii="Playpen Sans" w:eastAsia="Playpen Sans" w:hAnsi="Playpen Sans" w:cs="Playpen Sans"/>
                <w:sz w:val="19"/>
                <w:szCs w:val="19"/>
              </w:rPr>
              <w:t>Special relationships</w:t>
            </w:r>
          </w:p>
        </w:tc>
        <w:tc>
          <w:tcPr>
            <w:tcW w:w="2235" w:type="dxa"/>
            <w:shd w:val="clear" w:color="auto" w:fill="6D9EEB"/>
          </w:tcPr>
          <w:p w14:paraId="0D1B8F1C"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u w:val="single"/>
              </w:rPr>
              <w:t xml:space="preserve">Managing Self: </w:t>
            </w:r>
            <w:r>
              <w:rPr>
                <w:rFonts w:ascii="Playpen Sans" w:eastAsia="Playpen Sans" w:hAnsi="Playpen Sans" w:cs="Playpen Sans"/>
                <w:sz w:val="19"/>
                <w:szCs w:val="19"/>
              </w:rPr>
              <w:t>Taking on challenges</w:t>
            </w:r>
          </w:p>
        </w:tc>
        <w:tc>
          <w:tcPr>
            <w:tcW w:w="2235" w:type="dxa"/>
            <w:shd w:val="clear" w:color="auto" w:fill="6D9EEB"/>
          </w:tcPr>
          <w:p w14:paraId="0D1B8F1D"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u w:val="single"/>
              </w:rPr>
              <w:t>Managing Self:</w:t>
            </w:r>
            <w:r>
              <w:rPr>
                <w:rFonts w:ascii="Playpen Sans" w:eastAsia="Playpen Sans" w:hAnsi="Playpen Sans" w:cs="Playpen Sans"/>
                <w:sz w:val="19"/>
                <w:szCs w:val="19"/>
              </w:rPr>
              <w:t xml:space="preserve"> My wellbeing</w:t>
            </w:r>
          </w:p>
        </w:tc>
      </w:tr>
      <w:tr w:rsidR="00451DAC" w14:paraId="0D1B8F28" w14:textId="77777777">
        <w:tc>
          <w:tcPr>
            <w:tcW w:w="2235" w:type="dxa"/>
          </w:tcPr>
          <w:p w14:paraId="0D1B8F1F" w14:textId="77777777" w:rsidR="00451DAC" w:rsidRDefault="00864D2B">
            <w:pPr>
              <w:widowControl w:val="0"/>
              <w:spacing w:line="240" w:lineRule="auto"/>
              <w:jc w:val="center"/>
              <w:rPr>
                <w:rFonts w:ascii="Playpen Sans" w:eastAsia="Playpen Sans" w:hAnsi="Playpen Sans" w:cs="Playpen Sans"/>
                <w:b/>
                <w:bCs/>
                <w:sz w:val="20"/>
                <w:szCs w:val="20"/>
              </w:rPr>
            </w:pPr>
            <w:r>
              <w:rPr>
                <w:rFonts w:ascii="Playpen Sans" w:eastAsia="Playpen Sans" w:hAnsi="Playpen Sans" w:cs="Playpen Sans"/>
                <w:b/>
                <w:bCs/>
                <w:sz w:val="20"/>
                <w:szCs w:val="20"/>
              </w:rPr>
              <w:t>Year 1</w:t>
            </w:r>
          </w:p>
        </w:tc>
        <w:tc>
          <w:tcPr>
            <w:tcW w:w="2235" w:type="dxa"/>
            <w:shd w:val="clear" w:color="auto" w:fill="FFD966"/>
          </w:tcPr>
          <w:p w14:paraId="0D1B8F20"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Introduction Lesson</w:t>
            </w:r>
          </w:p>
          <w:p w14:paraId="0D1B8F21"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Health and Wellbe</w:t>
            </w:r>
            <w:r>
              <w:rPr>
                <w:rFonts w:ascii="Playpen Sans" w:eastAsia="Playpen Sans" w:hAnsi="Playpen Sans" w:cs="Playpen Sans"/>
                <w:sz w:val="19"/>
                <w:szCs w:val="19"/>
              </w:rPr>
              <w:t>ing</w:t>
            </w:r>
          </w:p>
        </w:tc>
        <w:tc>
          <w:tcPr>
            <w:tcW w:w="2235" w:type="dxa"/>
            <w:shd w:val="clear" w:color="auto" w:fill="FFD966"/>
          </w:tcPr>
          <w:p w14:paraId="0D1B8F22"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Families and Relationships/</w:t>
            </w:r>
          </w:p>
          <w:p w14:paraId="0D1B8F23"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Anti-Bullying</w:t>
            </w:r>
          </w:p>
        </w:tc>
        <w:tc>
          <w:tcPr>
            <w:tcW w:w="2235" w:type="dxa"/>
            <w:shd w:val="clear" w:color="auto" w:fill="93C47D"/>
          </w:tcPr>
          <w:p w14:paraId="0D1B8F24"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Citizenship</w:t>
            </w:r>
          </w:p>
        </w:tc>
        <w:tc>
          <w:tcPr>
            <w:tcW w:w="2235" w:type="dxa"/>
            <w:shd w:val="clear" w:color="auto" w:fill="93C47D"/>
          </w:tcPr>
          <w:p w14:paraId="0D1B8F25"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Economic Wellbeing</w:t>
            </w:r>
          </w:p>
        </w:tc>
        <w:tc>
          <w:tcPr>
            <w:tcW w:w="2235" w:type="dxa"/>
            <w:shd w:val="clear" w:color="auto" w:fill="6D9EEB"/>
          </w:tcPr>
          <w:p w14:paraId="0D1B8F26"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Safety and the changing body</w:t>
            </w:r>
          </w:p>
        </w:tc>
        <w:tc>
          <w:tcPr>
            <w:tcW w:w="2235" w:type="dxa"/>
            <w:shd w:val="clear" w:color="auto" w:fill="6D9EEB"/>
          </w:tcPr>
          <w:p w14:paraId="0D1B8F27"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Transition</w:t>
            </w:r>
          </w:p>
        </w:tc>
      </w:tr>
      <w:tr w:rsidR="00451DAC" w14:paraId="0D1B8F32" w14:textId="77777777">
        <w:tc>
          <w:tcPr>
            <w:tcW w:w="2235" w:type="dxa"/>
          </w:tcPr>
          <w:p w14:paraId="0D1B8F29" w14:textId="77777777" w:rsidR="00451DAC" w:rsidRDefault="00864D2B">
            <w:pPr>
              <w:widowControl w:val="0"/>
              <w:spacing w:line="240" w:lineRule="auto"/>
              <w:jc w:val="center"/>
              <w:rPr>
                <w:rFonts w:ascii="Playpen Sans" w:eastAsia="Playpen Sans" w:hAnsi="Playpen Sans" w:cs="Playpen Sans"/>
                <w:b/>
                <w:bCs/>
                <w:sz w:val="20"/>
                <w:szCs w:val="20"/>
              </w:rPr>
            </w:pPr>
            <w:r>
              <w:rPr>
                <w:rFonts w:ascii="Playpen Sans" w:eastAsia="Playpen Sans" w:hAnsi="Playpen Sans" w:cs="Playpen Sans"/>
                <w:b/>
                <w:bCs/>
                <w:sz w:val="20"/>
                <w:szCs w:val="20"/>
              </w:rPr>
              <w:t>Year 2</w:t>
            </w:r>
          </w:p>
        </w:tc>
        <w:tc>
          <w:tcPr>
            <w:tcW w:w="2235" w:type="dxa"/>
            <w:shd w:val="clear" w:color="auto" w:fill="FFD966"/>
          </w:tcPr>
          <w:p w14:paraId="0D1B8F2A"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Introduction Lesson</w:t>
            </w:r>
          </w:p>
          <w:p w14:paraId="0D1B8F2B"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Health and Wellbeing</w:t>
            </w:r>
          </w:p>
        </w:tc>
        <w:tc>
          <w:tcPr>
            <w:tcW w:w="2235" w:type="dxa"/>
            <w:shd w:val="clear" w:color="auto" w:fill="FFD966"/>
          </w:tcPr>
          <w:p w14:paraId="0D1B8F2C"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Families and Relationships/</w:t>
            </w:r>
          </w:p>
          <w:p w14:paraId="0D1B8F2D"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Anti-Bullying</w:t>
            </w:r>
          </w:p>
        </w:tc>
        <w:tc>
          <w:tcPr>
            <w:tcW w:w="2235" w:type="dxa"/>
            <w:shd w:val="clear" w:color="auto" w:fill="93C47D"/>
          </w:tcPr>
          <w:p w14:paraId="0D1B8F2E"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Citizenship</w:t>
            </w:r>
          </w:p>
        </w:tc>
        <w:tc>
          <w:tcPr>
            <w:tcW w:w="2235" w:type="dxa"/>
            <w:shd w:val="clear" w:color="auto" w:fill="93C47D"/>
          </w:tcPr>
          <w:p w14:paraId="0D1B8F2F"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Economic Wellbeing</w:t>
            </w:r>
          </w:p>
        </w:tc>
        <w:tc>
          <w:tcPr>
            <w:tcW w:w="2235" w:type="dxa"/>
            <w:shd w:val="clear" w:color="auto" w:fill="6D9EEB"/>
          </w:tcPr>
          <w:p w14:paraId="0D1B8F30"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Safety and the changing body</w:t>
            </w:r>
          </w:p>
        </w:tc>
        <w:tc>
          <w:tcPr>
            <w:tcW w:w="2235" w:type="dxa"/>
            <w:shd w:val="clear" w:color="auto" w:fill="6D9EEB"/>
          </w:tcPr>
          <w:p w14:paraId="0D1B8F31"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Transition</w:t>
            </w:r>
          </w:p>
        </w:tc>
      </w:tr>
      <w:tr w:rsidR="00451DAC" w14:paraId="0D1B8F3C" w14:textId="77777777">
        <w:tc>
          <w:tcPr>
            <w:tcW w:w="2235" w:type="dxa"/>
          </w:tcPr>
          <w:p w14:paraId="0D1B8F33" w14:textId="77777777" w:rsidR="00451DAC" w:rsidRDefault="00864D2B">
            <w:pPr>
              <w:widowControl w:val="0"/>
              <w:spacing w:line="240" w:lineRule="auto"/>
              <w:jc w:val="center"/>
              <w:rPr>
                <w:rFonts w:ascii="Playpen Sans" w:eastAsia="Playpen Sans" w:hAnsi="Playpen Sans" w:cs="Playpen Sans"/>
                <w:b/>
                <w:bCs/>
                <w:sz w:val="20"/>
                <w:szCs w:val="20"/>
              </w:rPr>
            </w:pPr>
            <w:r>
              <w:rPr>
                <w:rFonts w:ascii="Playpen Sans" w:eastAsia="Playpen Sans" w:hAnsi="Playpen Sans" w:cs="Playpen Sans"/>
                <w:b/>
                <w:bCs/>
                <w:sz w:val="20"/>
                <w:szCs w:val="20"/>
              </w:rPr>
              <w:t>Year 3</w:t>
            </w:r>
          </w:p>
        </w:tc>
        <w:tc>
          <w:tcPr>
            <w:tcW w:w="2235" w:type="dxa"/>
            <w:shd w:val="clear" w:color="auto" w:fill="FFD966"/>
          </w:tcPr>
          <w:p w14:paraId="0D1B8F34"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Introduction</w:t>
            </w:r>
          </w:p>
          <w:p w14:paraId="0D1B8F35"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Health and Wellbeing</w:t>
            </w:r>
          </w:p>
        </w:tc>
        <w:tc>
          <w:tcPr>
            <w:tcW w:w="2235" w:type="dxa"/>
            <w:shd w:val="clear" w:color="auto" w:fill="FFD966"/>
          </w:tcPr>
          <w:p w14:paraId="0D1B8F36"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Families and Relationships/</w:t>
            </w:r>
          </w:p>
          <w:p w14:paraId="0D1B8F37"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Anti-Bullying</w:t>
            </w:r>
          </w:p>
        </w:tc>
        <w:tc>
          <w:tcPr>
            <w:tcW w:w="2235" w:type="dxa"/>
            <w:shd w:val="clear" w:color="auto" w:fill="93C47D"/>
          </w:tcPr>
          <w:p w14:paraId="0D1B8F38"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Citizenship</w:t>
            </w:r>
          </w:p>
        </w:tc>
        <w:tc>
          <w:tcPr>
            <w:tcW w:w="2235" w:type="dxa"/>
            <w:shd w:val="clear" w:color="auto" w:fill="93C47D"/>
          </w:tcPr>
          <w:p w14:paraId="0D1B8F39"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Economic Wellbeing</w:t>
            </w:r>
          </w:p>
        </w:tc>
        <w:tc>
          <w:tcPr>
            <w:tcW w:w="2235" w:type="dxa"/>
            <w:shd w:val="clear" w:color="auto" w:fill="6D9EEB"/>
          </w:tcPr>
          <w:p w14:paraId="0D1B8F3A"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Safety and the changing body</w:t>
            </w:r>
          </w:p>
        </w:tc>
        <w:tc>
          <w:tcPr>
            <w:tcW w:w="2235" w:type="dxa"/>
            <w:shd w:val="clear" w:color="auto" w:fill="6D9EEB"/>
          </w:tcPr>
          <w:p w14:paraId="0D1B8F3B"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Transition</w:t>
            </w:r>
          </w:p>
        </w:tc>
      </w:tr>
      <w:tr w:rsidR="00451DAC" w14:paraId="0D1B8F46" w14:textId="77777777">
        <w:tc>
          <w:tcPr>
            <w:tcW w:w="2235" w:type="dxa"/>
          </w:tcPr>
          <w:p w14:paraId="0D1B8F3D" w14:textId="77777777" w:rsidR="00451DAC" w:rsidRDefault="00864D2B">
            <w:pPr>
              <w:widowControl w:val="0"/>
              <w:spacing w:line="240" w:lineRule="auto"/>
              <w:jc w:val="center"/>
              <w:rPr>
                <w:rFonts w:ascii="Playpen Sans" w:eastAsia="Playpen Sans" w:hAnsi="Playpen Sans" w:cs="Playpen Sans"/>
                <w:b/>
                <w:bCs/>
                <w:sz w:val="20"/>
                <w:szCs w:val="20"/>
              </w:rPr>
            </w:pPr>
            <w:r>
              <w:rPr>
                <w:rFonts w:ascii="Playpen Sans" w:eastAsia="Playpen Sans" w:hAnsi="Playpen Sans" w:cs="Playpen Sans"/>
                <w:b/>
                <w:bCs/>
                <w:sz w:val="20"/>
                <w:szCs w:val="20"/>
              </w:rPr>
              <w:t>Year 4</w:t>
            </w:r>
          </w:p>
        </w:tc>
        <w:tc>
          <w:tcPr>
            <w:tcW w:w="2235" w:type="dxa"/>
            <w:shd w:val="clear" w:color="auto" w:fill="FFD966"/>
          </w:tcPr>
          <w:p w14:paraId="0D1B8F3E"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Introduction</w:t>
            </w:r>
          </w:p>
          <w:p w14:paraId="0D1B8F3F"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Health and Wellbeing</w:t>
            </w:r>
          </w:p>
        </w:tc>
        <w:tc>
          <w:tcPr>
            <w:tcW w:w="2235" w:type="dxa"/>
            <w:shd w:val="clear" w:color="auto" w:fill="FFD966"/>
          </w:tcPr>
          <w:p w14:paraId="0D1B8F40"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Families and Relationships/</w:t>
            </w:r>
          </w:p>
          <w:p w14:paraId="0D1B8F41"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Anti-Bullying</w:t>
            </w:r>
          </w:p>
        </w:tc>
        <w:tc>
          <w:tcPr>
            <w:tcW w:w="2235" w:type="dxa"/>
            <w:shd w:val="clear" w:color="auto" w:fill="93C47D"/>
          </w:tcPr>
          <w:p w14:paraId="0D1B8F42"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Citizenship</w:t>
            </w:r>
          </w:p>
        </w:tc>
        <w:tc>
          <w:tcPr>
            <w:tcW w:w="2235" w:type="dxa"/>
            <w:shd w:val="clear" w:color="auto" w:fill="93C47D"/>
          </w:tcPr>
          <w:p w14:paraId="0D1B8F43"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Economic Wellbeing</w:t>
            </w:r>
          </w:p>
        </w:tc>
        <w:tc>
          <w:tcPr>
            <w:tcW w:w="2235" w:type="dxa"/>
            <w:shd w:val="clear" w:color="auto" w:fill="6D9EEB"/>
          </w:tcPr>
          <w:p w14:paraId="0D1B8F44"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Safety and the changing body</w:t>
            </w:r>
          </w:p>
        </w:tc>
        <w:tc>
          <w:tcPr>
            <w:tcW w:w="2235" w:type="dxa"/>
            <w:shd w:val="clear" w:color="auto" w:fill="6D9EEB"/>
          </w:tcPr>
          <w:p w14:paraId="0D1B8F45"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Transition</w:t>
            </w:r>
          </w:p>
        </w:tc>
      </w:tr>
      <w:tr w:rsidR="00451DAC" w14:paraId="0D1B8F4F" w14:textId="77777777">
        <w:tc>
          <w:tcPr>
            <w:tcW w:w="2235" w:type="dxa"/>
          </w:tcPr>
          <w:p w14:paraId="0D1B8F47" w14:textId="77777777" w:rsidR="00451DAC" w:rsidRDefault="00864D2B">
            <w:pPr>
              <w:widowControl w:val="0"/>
              <w:spacing w:line="240" w:lineRule="auto"/>
              <w:jc w:val="center"/>
              <w:rPr>
                <w:rFonts w:ascii="Playpen Sans" w:eastAsia="Playpen Sans" w:hAnsi="Playpen Sans" w:cs="Playpen Sans"/>
                <w:b/>
                <w:bCs/>
                <w:sz w:val="20"/>
                <w:szCs w:val="20"/>
              </w:rPr>
            </w:pPr>
            <w:r>
              <w:rPr>
                <w:rFonts w:ascii="Playpen Sans" w:eastAsia="Playpen Sans" w:hAnsi="Playpen Sans" w:cs="Playpen Sans"/>
                <w:b/>
                <w:bCs/>
                <w:sz w:val="20"/>
                <w:szCs w:val="20"/>
              </w:rPr>
              <w:t>Year 5</w:t>
            </w:r>
          </w:p>
        </w:tc>
        <w:tc>
          <w:tcPr>
            <w:tcW w:w="2235" w:type="dxa"/>
            <w:shd w:val="clear" w:color="auto" w:fill="FFD966"/>
          </w:tcPr>
          <w:p w14:paraId="0D1B8F48"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Introduction</w:t>
            </w:r>
          </w:p>
          <w:p w14:paraId="0D1B8F49"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Health and Wellbeing</w:t>
            </w:r>
          </w:p>
        </w:tc>
        <w:tc>
          <w:tcPr>
            <w:tcW w:w="2235" w:type="dxa"/>
            <w:shd w:val="clear" w:color="auto" w:fill="FFD966"/>
          </w:tcPr>
          <w:p w14:paraId="0D1B8F4A"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Citizenship (Parliament Week)</w:t>
            </w:r>
          </w:p>
        </w:tc>
        <w:tc>
          <w:tcPr>
            <w:tcW w:w="2235" w:type="dxa"/>
            <w:shd w:val="clear" w:color="auto" w:fill="93C47D"/>
          </w:tcPr>
          <w:p w14:paraId="0D1B8F4B"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Families and Relationships</w:t>
            </w:r>
          </w:p>
        </w:tc>
        <w:tc>
          <w:tcPr>
            <w:tcW w:w="2235" w:type="dxa"/>
            <w:shd w:val="clear" w:color="auto" w:fill="93C47D"/>
          </w:tcPr>
          <w:p w14:paraId="0D1B8F4C"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Economic Wellbeing</w:t>
            </w:r>
          </w:p>
        </w:tc>
        <w:tc>
          <w:tcPr>
            <w:tcW w:w="2235" w:type="dxa"/>
            <w:shd w:val="clear" w:color="auto" w:fill="6D9EEB"/>
          </w:tcPr>
          <w:p w14:paraId="0D1B8F4D"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Safety and the changing body</w:t>
            </w:r>
          </w:p>
        </w:tc>
        <w:tc>
          <w:tcPr>
            <w:tcW w:w="2235" w:type="dxa"/>
            <w:shd w:val="clear" w:color="auto" w:fill="6D9EEB"/>
          </w:tcPr>
          <w:p w14:paraId="0D1B8F4E"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Transition</w:t>
            </w:r>
          </w:p>
        </w:tc>
      </w:tr>
      <w:tr w:rsidR="00451DAC" w14:paraId="0D1B8F59" w14:textId="77777777">
        <w:tc>
          <w:tcPr>
            <w:tcW w:w="2235" w:type="dxa"/>
          </w:tcPr>
          <w:p w14:paraId="0D1B8F50" w14:textId="77777777" w:rsidR="00451DAC" w:rsidRDefault="00864D2B">
            <w:pPr>
              <w:widowControl w:val="0"/>
              <w:spacing w:line="240" w:lineRule="auto"/>
              <w:jc w:val="center"/>
              <w:rPr>
                <w:rFonts w:ascii="Playpen Sans" w:eastAsia="Playpen Sans" w:hAnsi="Playpen Sans" w:cs="Playpen Sans"/>
                <w:b/>
                <w:bCs/>
                <w:sz w:val="20"/>
                <w:szCs w:val="20"/>
              </w:rPr>
            </w:pPr>
            <w:r>
              <w:rPr>
                <w:rFonts w:ascii="Playpen Sans" w:eastAsia="Playpen Sans" w:hAnsi="Playpen Sans" w:cs="Playpen Sans"/>
                <w:b/>
                <w:bCs/>
                <w:sz w:val="20"/>
                <w:szCs w:val="20"/>
              </w:rPr>
              <w:t>Year 6</w:t>
            </w:r>
          </w:p>
        </w:tc>
        <w:tc>
          <w:tcPr>
            <w:tcW w:w="2235" w:type="dxa"/>
            <w:shd w:val="clear" w:color="auto" w:fill="FFD966"/>
          </w:tcPr>
          <w:p w14:paraId="0D1B8F51"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Introduction</w:t>
            </w:r>
          </w:p>
          <w:p w14:paraId="0D1B8F52"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Health and Wellbeing</w:t>
            </w:r>
          </w:p>
        </w:tc>
        <w:tc>
          <w:tcPr>
            <w:tcW w:w="2235" w:type="dxa"/>
            <w:shd w:val="clear" w:color="auto" w:fill="FFD966"/>
          </w:tcPr>
          <w:p w14:paraId="0D1B8F53"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Citizenship (Parliament Week)</w:t>
            </w:r>
          </w:p>
        </w:tc>
        <w:tc>
          <w:tcPr>
            <w:tcW w:w="2235" w:type="dxa"/>
            <w:shd w:val="clear" w:color="auto" w:fill="93C47D"/>
          </w:tcPr>
          <w:p w14:paraId="0D1B8F54"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Families and Relationships</w:t>
            </w:r>
          </w:p>
        </w:tc>
        <w:tc>
          <w:tcPr>
            <w:tcW w:w="2235" w:type="dxa"/>
            <w:shd w:val="clear" w:color="auto" w:fill="93C47D"/>
          </w:tcPr>
          <w:p w14:paraId="0D1B8F55"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Economic Wellbeing</w:t>
            </w:r>
          </w:p>
        </w:tc>
        <w:tc>
          <w:tcPr>
            <w:tcW w:w="2235" w:type="dxa"/>
            <w:shd w:val="clear" w:color="auto" w:fill="6D9EEB"/>
          </w:tcPr>
          <w:p w14:paraId="0D1B8F56"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Safety and the changing body</w:t>
            </w:r>
          </w:p>
        </w:tc>
        <w:tc>
          <w:tcPr>
            <w:tcW w:w="2235" w:type="dxa"/>
            <w:shd w:val="clear" w:color="auto" w:fill="6D9EEB"/>
          </w:tcPr>
          <w:p w14:paraId="0D1B8F57"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Identity/</w:t>
            </w:r>
          </w:p>
          <w:p w14:paraId="0D1B8F58" w14:textId="77777777" w:rsidR="00451DAC" w:rsidRDefault="00864D2B">
            <w:pPr>
              <w:widowControl w:val="0"/>
              <w:spacing w:line="240" w:lineRule="auto"/>
              <w:jc w:val="center"/>
              <w:rPr>
                <w:rFonts w:ascii="Playpen Sans" w:eastAsia="Playpen Sans" w:hAnsi="Playpen Sans" w:cs="Playpen Sans"/>
                <w:sz w:val="19"/>
                <w:szCs w:val="19"/>
              </w:rPr>
            </w:pPr>
            <w:r>
              <w:rPr>
                <w:rFonts w:ascii="Playpen Sans" w:eastAsia="Playpen Sans" w:hAnsi="Playpen Sans" w:cs="Playpen Sans"/>
                <w:sz w:val="19"/>
                <w:szCs w:val="19"/>
              </w:rPr>
              <w:t>Transition</w:t>
            </w:r>
          </w:p>
        </w:tc>
      </w:tr>
    </w:tbl>
    <w:p w14:paraId="0D1B8F5E" w14:textId="31698B6F" w:rsidR="00451DAC" w:rsidRDefault="00864D2B">
      <w:pPr>
        <w:spacing w:before="240" w:after="240"/>
        <w:rPr>
          <w:rFonts w:ascii="Playpen Sans" w:eastAsia="Playpen Sans" w:hAnsi="Playpen Sans" w:cs="Playpen Sans"/>
          <w:sz w:val="24"/>
          <w:szCs w:val="24"/>
        </w:rPr>
      </w:pPr>
      <w:r>
        <w:rPr>
          <w:rFonts w:ascii="Playpen Sans" w:eastAsia="Playpen Sans" w:hAnsi="Playpen Sans" w:cs="Playpen Sans"/>
        </w:rPr>
        <w:t xml:space="preserve"> *In accordance with the Kapow: RSE &amp; PSHE scheme ©</w:t>
      </w:r>
    </w:p>
    <w:p w14:paraId="0D1B8F63" w14:textId="77777777" w:rsidR="00451DAC" w:rsidRDefault="00451DAC">
      <w:pPr>
        <w:spacing w:before="240" w:after="240"/>
        <w:rPr>
          <w:rFonts w:ascii="Playpen Sans" w:eastAsia="Playpen Sans" w:hAnsi="Playpen Sans" w:cs="Playpen Sans"/>
          <w:sz w:val="24"/>
          <w:szCs w:val="24"/>
        </w:rPr>
      </w:pPr>
      <w:bookmarkStart w:id="0" w:name="_GoBack"/>
      <w:bookmarkEnd w:id="0"/>
    </w:p>
    <w:sectPr w:rsidR="00451DAC">
      <w:headerReference w:type="default" r:id="rId16"/>
      <w:headerReference w:type="first" r:id="rId17"/>
      <w:footerReference w:type="first" r:id="rId18"/>
      <w:pgSz w:w="16834" w:h="11909" w:orient="landscape"/>
      <w:pgMar w:top="566" w:right="566" w:bottom="566" w:left="566" w:header="283" w:footer="56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B8F7A" w14:textId="77777777" w:rsidR="00000000" w:rsidRDefault="00864D2B">
      <w:pPr>
        <w:spacing w:line="240" w:lineRule="auto"/>
      </w:pPr>
      <w:r>
        <w:separator/>
      </w:r>
    </w:p>
  </w:endnote>
  <w:endnote w:type="continuationSeparator" w:id="0">
    <w:p w14:paraId="0D1B8F7C" w14:textId="77777777" w:rsidR="00000000" w:rsidRDefault="00864D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20002A87" w:usb1="00000000" w:usb2="00000000" w:usb3="00000000" w:csb0="000001FF" w:csb1="00000000"/>
    <w:embedRegular r:id="rId1" w:fontKey="{43F64B0F-637B-4FD7-ADF4-FDA7AB311645}"/>
  </w:font>
  <w:font w:name="Playpen Sans">
    <w:charset w:val="00"/>
    <w:family w:val="auto"/>
    <w:pitch w:val="default"/>
    <w:embedRegular r:id="rId2" w:fontKey="{4451D027-0B16-4FC8-A9F2-6FFA78424081}"/>
    <w:embedBold r:id="rId3" w:fontKey="{07B1B30B-ABDB-4081-AF2D-F853F0C00CC9}"/>
    <w:embedItalic r:id="rId4" w:fontKey="{8DAA18CC-5511-4CEE-A62A-5B2426C5A93F}"/>
    <w:embedBoldItalic r:id="rId5" w:fontKey="{F4D15C86-3D37-4D5C-BF9C-FB4D5BE204EE}"/>
  </w:font>
  <w:font w:name="Cambria">
    <w:panose1 w:val="02040503050406030204"/>
    <w:charset w:val="00"/>
    <w:family w:val="roman"/>
    <w:pitch w:val="variable"/>
    <w:sig w:usb0="E00006FF" w:usb1="420024FF" w:usb2="02000000" w:usb3="00000000" w:csb0="0000019F" w:csb1="00000000"/>
    <w:embedRegular r:id="rId6" w:fontKey="{A85E008E-516C-4636-B76D-77172C2F3B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B8F75" w14:textId="77777777" w:rsidR="00451DAC" w:rsidRDefault="00451D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B8F76" w14:textId="77777777" w:rsidR="00000000" w:rsidRDefault="00864D2B">
      <w:pPr>
        <w:spacing w:line="240" w:lineRule="auto"/>
      </w:pPr>
      <w:r>
        <w:separator/>
      </w:r>
    </w:p>
  </w:footnote>
  <w:footnote w:type="continuationSeparator" w:id="0">
    <w:p w14:paraId="0D1B8F78" w14:textId="77777777" w:rsidR="00000000" w:rsidRDefault="00864D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B8F72" w14:textId="77777777" w:rsidR="00451DAC" w:rsidRDefault="00864D2B">
    <w:pPr>
      <w:rPr>
        <w:b/>
        <w:bCs/>
        <w:i/>
        <w:iCs/>
        <w:color w:val="E31A00"/>
        <w:sz w:val="20"/>
        <w:szCs w:val="20"/>
      </w:rPr>
    </w:pPr>
    <w:r>
      <w:rPr>
        <w:b/>
        <w:bCs/>
        <w:i/>
        <w:iCs/>
        <w:color w:val="E31A00"/>
        <w:sz w:val="20"/>
        <w:szCs w:val="20"/>
      </w:rPr>
      <w:t>‘Shine like stars in the world. ’Philippians 2:15</w:t>
    </w:r>
  </w:p>
  <w:p w14:paraId="0D1B8F73" w14:textId="77777777" w:rsidR="00451DAC" w:rsidRDefault="00864D2B">
    <w:pPr>
      <w:rPr>
        <w:b/>
        <w:bCs/>
        <w:i/>
        <w:iCs/>
        <w:sz w:val="20"/>
        <w:szCs w:val="20"/>
      </w:rPr>
    </w:pPr>
    <w:r>
      <w:rPr>
        <w:b/>
        <w:bCs/>
        <w:i/>
        <w:iCs/>
        <w:sz w:val="18"/>
        <w:szCs w:val="18"/>
      </w:rPr>
      <w:t>PSHE Long Term Curriculum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B8F74" w14:textId="77777777" w:rsidR="00451DAC" w:rsidRDefault="00864D2B">
    <w:r>
      <w:rPr>
        <w:b/>
        <w:bCs/>
        <w:i/>
        <w:iCs/>
        <w:color w:val="E31A00"/>
        <w:sz w:val="20"/>
        <w:szCs w:val="20"/>
      </w:rPr>
      <w:t>‘Shine like stars in the world. ’Philippians 2:15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DAC"/>
    <w:rsid w:val="00451DAC"/>
    <w:rsid w:val="00864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B8EE8"/>
  <w15:docId w15:val="{BA79F14A-2767-451E-921D-56FC99A7C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0029536CBD8A42AF30BC795B1D920F" ma:contentTypeVersion="16" ma:contentTypeDescription="Create a new document." ma:contentTypeScope="" ma:versionID="1f52ac61c1ff7d1a6811156679b87812">
  <xsd:schema xmlns:xsd="http://www.w3.org/2001/XMLSchema" xmlns:xs="http://www.w3.org/2001/XMLSchema" xmlns:p="http://schemas.microsoft.com/office/2006/metadata/properties" xmlns:ns3="24f1a9a7-d9c9-4674-8f7f-44a021eb6d39" targetNamespace="http://schemas.microsoft.com/office/2006/metadata/properties" ma:root="true" ma:fieldsID="5c8398cc4177b0d408ef2a29314cee7d" ns3:_="">
    <xsd:import namespace="24f1a9a7-d9c9-4674-8f7f-44a021eb6d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ystemTags" minOccurs="0"/>
                <xsd:element ref="ns3:MediaServiceSearchProperties"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f1a9a7-d9c9-4674-8f7f-44a021eb6d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4f1a9a7-d9c9-4674-8f7f-44a021eb6d39" xsi:nil="true"/>
  </documentManagement>
</p:properties>
</file>

<file path=customXml/itemProps1.xml><?xml version="1.0" encoding="utf-8"?>
<ds:datastoreItem xmlns:ds="http://schemas.openxmlformats.org/officeDocument/2006/customXml" ds:itemID="{A3E3C743-4D5B-420D-A410-6A00246B2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f1a9a7-d9c9-4674-8f7f-44a021eb6d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B41856-EFE7-4433-9E16-E026ED2D9209}">
  <ds:schemaRefs>
    <ds:schemaRef ds:uri="http://schemas.microsoft.com/sharepoint/v3/contenttype/forms"/>
  </ds:schemaRefs>
</ds:datastoreItem>
</file>

<file path=customXml/itemProps3.xml><?xml version="1.0" encoding="utf-8"?>
<ds:datastoreItem xmlns:ds="http://schemas.openxmlformats.org/officeDocument/2006/customXml" ds:itemID="{CB9E23FB-9EDF-4836-AADF-189FA7D0904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4f1a9a7-d9c9-4674-8f7f-44a021eb6d3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J Moore</dc:creator>
  <cp:lastModifiedBy>Miss J Moore</cp:lastModifiedBy>
  <cp:revision>2</cp:revision>
  <dcterms:created xsi:type="dcterms:W3CDTF">2026-04-12T19:08:00Z</dcterms:created>
  <dcterms:modified xsi:type="dcterms:W3CDTF">2026-04-12T19:08:00Z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0x010100C60029536CBD8A42AF30BC795B1D920F</vt:lpwstr>
  </property>
</Properties>
</file>